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AAF" w:rsidRPr="00EA45EB" w:rsidRDefault="00496073" w:rsidP="000F43D6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b/>
          <w:bCs/>
          <w:sz w:val="28"/>
          <w:szCs w:val="28"/>
          <w:rtl/>
          <w:lang w:bidi="fa-IR"/>
        </w:rPr>
        <w:t>بسم‌الله</w:t>
      </w:r>
      <w:r w:rsidR="00DE0AAF" w:rsidRPr="00EA45E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الرحمن الرحیم</w:t>
      </w:r>
    </w:p>
    <w:p w:rsidR="000F43D6" w:rsidRPr="00EA45EB" w:rsidRDefault="000F43D6" w:rsidP="000F43D6">
      <w:pPr>
        <w:bidi/>
        <w:jc w:val="both"/>
        <w:rPr>
          <w:rFonts w:ascii="IRBadr" w:hAnsi="IRBadr" w:cs="IRBadr"/>
          <w:noProof/>
        </w:rPr>
      </w:pPr>
      <w:r w:rsidRPr="00EA45EB">
        <w:rPr>
          <w:rFonts w:ascii="IRBadr" w:hAnsi="IRBadr" w:cs="IRBadr"/>
          <w:b/>
          <w:bCs/>
          <w:sz w:val="28"/>
          <w:szCs w:val="28"/>
          <w:rtl/>
          <w:lang w:bidi="fa-IR"/>
        </w:rPr>
        <w:t>فهرست مطالب :</w:t>
      </w:r>
      <w:r w:rsidRPr="00EA45EB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begin"/>
      </w:r>
      <w:r w:rsidRPr="00EA45EB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EA45EB">
        <w:rPr>
          <w:rFonts w:ascii="IRBadr" w:hAnsi="IRBadr" w:cs="IRBadr"/>
          <w:b/>
          <w:bCs/>
          <w:sz w:val="28"/>
          <w:szCs w:val="28"/>
          <w:lang w:bidi="fa-IR"/>
        </w:rPr>
        <w:instrText>TOC</w:instrText>
      </w:r>
      <w:r w:rsidRPr="00EA45EB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\</w:instrText>
      </w:r>
      <w:r w:rsidRPr="00EA45EB">
        <w:rPr>
          <w:rFonts w:ascii="IRBadr" w:hAnsi="IRBadr" w:cs="IRBadr"/>
          <w:b/>
          <w:bCs/>
          <w:sz w:val="28"/>
          <w:szCs w:val="28"/>
          <w:lang w:bidi="fa-IR"/>
        </w:rPr>
        <w:instrText>o "</w:instrText>
      </w:r>
      <w:r w:rsidRPr="00EA45EB">
        <w:rPr>
          <w:rFonts w:ascii="IRBadr" w:hAnsi="IRBadr" w:cs="IRBadr"/>
          <w:b/>
          <w:bCs/>
          <w:sz w:val="28"/>
          <w:szCs w:val="28"/>
          <w:rtl/>
          <w:lang w:bidi="fa-IR"/>
        </w:rPr>
        <w:instrText>1-4</w:instrText>
      </w:r>
      <w:r w:rsidRPr="00EA45EB">
        <w:rPr>
          <w:rFonts w:ascii="IRBadr" w:hAnsi="IRBadr" w:cs="IRBadr"/>
          <w:b/>
          <w:bCs/>
          <w:sz w:val="28"/>
          <w:szCs w:val="28"/>
          <w:lang w:bidi="fa-IR"/>
        </w:rPr>
        <w:instrText>" \h \z \u</w:instrText>
      </w:r>
      <w:r w:rsidRPr="00EA45EB">
        <w:rPr>
          <w:rFonts w:ascii="IRBadr" w:hAnsi="IRBadr" w:cs="IRBadr"/>
          <w:b/>
          <w:bCs/>
          <w:sz w:val="28"/>
          <w:szCs w:val="28"/>
          <w:rtl/>
          <w:lang w:bidi="fa-IR"/>
        </w:rPr>
        <w:instrText xml:space="preserve"> </w:instrText>
      </w:r>
      <w:r w:rsidRPr="00EA45EB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separate"/>
      </w:r>
    </w:p>
    <w:p w:rsidR="000F43D6" w:rsidRPr="00EA45EB" w:rsidRDefault="002D3EA6" w:rsidP="000F43D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676" w:history="1">
        <w:r w:rsidR="000F43D6" w:rsidRPr="00EA45EB">
          <w:rPr>
            <w:rStyle w:val="Hyperlink"/>
            <w:rFonts w:ascii="IRBadr" w:hAnsi="IRBadr" w:cs="IRBadr"/>
            <w:noProof/>
            <w:rtl/>
          </w:rPr>
          <w:t>طرق ثبوت سرقت</w:t>
        </w:r>
        <w:r w:rsidR="000F43D6" w:rsidRPr="00EA45EB">
          <w:rPr>
            <w:rFonts w:ascii="IRBadr" w:hAnsi="IRBadr" w:cs="IRBadr"/>
            <w:noProof/>
            <w:webHidden/>
          </w:rPr>
          <w:tab/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F43D6" w:rsidRPr="00EA45EB">
          <w:rPr>
            <w:rFonts w:ascii="IRBadr" w:hAnsi="IRBadr" w:cs="IRBadr"/>
            <w:noProof/>
            <w:webHidden/>
          </w:rPr>
          <w:instrText xml:space="preserve"> PAGEREF _Toc428135676 \h </w:instrText>
        </w:r>
        <w:r w:rsidR="000F43D6" w:rsidRPr="00EA45EB">
          <w:rPr>
            <w:rStyle w:val="Hyperlink"/>
            <w:rFonts w:ascii="IRBadr" w:hAnsi="IRBadr" w:cs="IRBadr"/>
            <w:noProof/>
            <w:rtl/>
          </w:rPr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F43D6" w:rsidRPr="00EA45EB">
          <w:rPr>
            <w:rFonts w:ascii="IRBadr" w:hAnsi="IRBadr" w:cs="IRBadr"/>
            <w:noProof/>
            <w:webHidden/>
          </w:rPr>
          <w:t>1</w:t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F43D6" w:rsidRPr="00EA45EB" w:rsidRDefault="002D3EA6" w:rsidP="000F43D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677" w:history="1">
        <w:r w:rsidR="000F43D6" w:rsidRPr="00EA45EB">
          <w:rPr>
            <w:rStyle w:val="Hyperlink"/>
            <w:rFonts w:ascii="IRBadr" w:hAnsi="IRBadr" w:cs="IRBadr"/>
            <w:noProof/>
            <w:rtl/>
          </w:rPr>
          <w:t>ادله حجیت اقرار</w:t>
        </w:r>
        <w:r w:rsidR="000F43D6" w:rsidRPr="00EA45EB">
          <w:rPr>
            <w:rFonts w:ascii="IRBadr" w:hAnsi="IRBadr" w:cs="IRBadr"/>
            <w:noProof/>
            <w:webHidden/>
          </w:rPr>
          <w:tab/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F43D6" w:rsidRPr="00EA45EB">
          <w:rPr>
            <w:rFonts w:ascii="IRBadr" w:hAnsi="IRBadr" w:cs="IRBadr"/>
            <w:noProof/>
            <w:webHidden/>
          </w:rPr>
          <w:instrText xml:space="preserve"> PAGEREF _Toc428135677 \h </w:instrText>
        </w:r>
        <w:r w:rsidR="000F43D6" w:rsidRPr="00EA45EB">
          <w:rPr>
            <w:rStyle w:val="Hyperlink"/>
            <w:rFonts w:ascii="IRBadr" w:hAnsi="IRBadr" w:cs="IRBadr"/>
            <w:noProof/>
            <w:rtl/>
          </w:rPr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F43D6" w:rsidRPr="00EA45EB">
          <w:rPr>
            <w:rFonts w:ascii="IRBadr" w:hAnsi="IRBadr" w:cs="IRBadr"/>
            <w:noProof/>
            <w:webHidden/>
          </w:rPr>
          <w:t>2</w:t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F43D6" w:rsidRPr="00EA45EB" w:rsidRDefault="002D3EA6" w:rsidP="000F43D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678" w:history="1">
        <w:r w:rsidR="000F43D6" w:rsidRPr="00EA45EB">
          <w:rPr>
            <w:rStyle w:val="Hyperlink"/>
            <w:rFonts w:ascii="IRBadr" w:hAnsi="IRBadr" w:cs="IRBadr"/>
            <w:noProof/>
            <w:rtl/>
          </w:rPr>
          <w:t>تفاوت اقرار در این مقام</w:t>
        </w:r>
        <w:r w:rsidR="000F43D6" w:rsidRPr="00EA45EB">
          <w:rPr>
            <w:rFonts w:ascii="IRBadr" w:hAnsi="IRBadr" w:cs="IRBadr"/>
            <w:noProof/>
            <w:webHidden/>
          </w:rPr>
          <w:tab/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F43D6" w:rsidRPr="00EA45EB">
          <w:rPr>
            <w:rFonts w:ascii="IRBadr" w:hAnsi="IRBadr" w:cs="IRBadr"/>
            <w:noProof/>
            <w:webHidden/>
          </w:rPr>
          <w:instrText xml:space="preserve"> PAGEREF _Toc428135678 \h </w:instrText>
        </w:r>
        <w:r w:rsidR="000F43D6" w:rsidRPr="00EA45EB">
          <w:rPr>
            <w:rStyle w:val="Hyperlink"/>
            <w:rFonts w:ascii="IRBadr" w:hAnsi="IRBadr" w:cs="IRBadr"/>
            <w:noProof/>
            <w:rtl/>
          </w:rPr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F43D6" w:rsidRPr="00EA45EB">
          <w:rPr>
            <w:rFonts w:ascii="IRBadr" w:hAnsi="IRBadr" w:cs="IRBadr"/>
            <w:noProof/>
            <w:webHidden/>
          </w:rPr>
          <w:t>2</w:t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F43D6" w:rsidRPr="00EA45EB" w:rsidRDefault="002D3EA6" w:rsidP="000F43D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679" w:history="1">
        <w:r w:rsidR="000F43D6" w:rsidRPr="00EA45EB">
          <w:rPr>
            <w:rStyle w:val="Hyperlink"/>
            <w:rFonts w:ascii="IRBadr" w:hAnsi="IRBadr" w:cs="IRBadr"/>
            <w:noProof/>
            <w:rtl/>
          </w:rPr>
          <w:t>جمع‌بندی</w:t>
        </w:r>
        <w:r w:rsidR="000F43D6" w:rsidRPr="00EA45EB">
          <w:rPr>
            <w:rFonts w:ascii="IRBadr" w:hAnsi="IRBadr" w:cs="IRBadr"/>
            <w:noProof/>
            <w:webHidden/>
          </w:rPr>
          <w:tab/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F43D6" w:rsidRPr="00EA45EB">
          <w:rPr>
            <w:rFonts w:ascii="IRBadr" w:hAnsi="IRBadr" w:cs="IRBadr"/>
            <w:noProof/>
            <w:webHidden/>
          </w:rPr>
          <w:instrText xml:space="preserve"> PAGEREF _Toc428135679 \h </w:instrText>
        </w:r>
        <w:r w:rsidR="000F43D6" w:rsidRPr="00EA45EB">
          <w:rPr>
            <w:rStyle w:val="Hyperlink"/>
            <w:rFonts w:ascii="IRBadr" w:hAnsi="IRBadr" w:cs="IRBadr"/>
            <w:noProof/>
            <w:rtl/>
          </w:rPr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F43D6" w:rsidRPr="00EA45EB">
          <w:rPr>
            <w:rFonts w:ascii="IRBadr" w:hAnsi="IRBadr" w:cs="IRBadr"/>
            <w:noProof/>
            <w:webHidden/>
          </w:rPr>
          <w:t>2</w:t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F43D6" w:rsidRPr="00EA45EB" w:rsidRDefault="002D3EA6" w:rsidP="000F43D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680" w:history="1">
        <w:r w:rsidR="000F43D6" w:rsidRPr="00EA45EB">
          <w:rPr>
            <w:rStyle w:val="Hyperlink"/>
            <w:rFonts w:ascii="IRBadr" w:hAnsi="IRBadr" w:cs="IRBadr"/>
            <w:noProof/>
            <w:rtl/>
          </w:rPr>
          <w:t>اقوال در این مقام</w:t>
        </w:r>
        <w:r w:rsidR="000F43D6" w:rsidRPr="00EA45EB">
          <w:rPr>
            <w:rFonts w:ascii="IRBadr" w:hAnsi="IRBadr" w:cs="IRBadr"/>
            <w:noProof/>
            <w:webHidden/>
          </w:rPr>
          <w:tab/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F43D6" w:rsidRPr="00EA45EB">
          <w:rPr>
            <w:rFonts w:ascii="IRBadr" w:hAnsi="IRBadr" w:cs="IRBadr"/>
            <w:noProof/>
            <w:webHidden/>
          </w:rPr>
          <w:instrText xml:space="preserve"> PAGEREF _Toc428135680 \h </w:instrText>
        </w:r>
        <w:r w:rsidR="000F43D6" w:rsidRPr="00EA45EB">
          <w:rPr>
            <w:rStyle w:val="Hyperlink"/>
            <w:rFonts w:ascii="IRBadr" w:hAnsi="IRBadr" w:cs="IRBadr"/>
            <w:noProof/>
            <w:rtl/>
          </w:rPr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F43D6" w:rsidRPr="00EA45EB">
          <w:rPr>
            <w:rFonts w:ascii="IRBadr" w:hAnsi="IRBadr" w:cs="IRBadr"/>
            <w:noProof/>
            <w:webHidden/>
          </w:rPr>
          <w:t>2</w:t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F43D6" w:rsidRPr="00EA45EB" w:rsidRDefault="002D3EA6" w:rsidP="000F43D6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681" w:history="1">
        <w:r w:rsidR="000F43D6" w:rsidRPr="00EA45EB">
          <w:rPr>
            <w:rStyle w:val="Hyperlink"/>
            <w:rFonts w:ascii="IRBadr" w:hAnsi="IRBadr" w:cs="IRBadr"/>
            <w:noProof/>
            <w:rtl/>
          </w:rPr>
          <w:t>اقوال عامه در این باب</w:t>
        </w:r>
        <w:r w:rsidR="000F43D6" w:rsidRPr="00EA45EB">
          <w:rPr>
            <w:rFonts w:ascii="IRBadr" w:hAnsi="IRBadr" w:cs="IRBadr"/>
            <w:noProof/>
            <w:webHidden/>
          </w:rPr>
          <w:tab/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F43D6" w:rsidRPr="00EA45EB">
          <w:rPr>
            <w:rFonts w:ascii="IRBadr" w:hAnsi="IRBadr" w:cs="IRBadr"/>
            <w:noProof/>
            <w:webHidden/>
          </w:rPr>
          <w:instrText xml:space="preserve"> PAGEREF _Toc428135681 \h </w:instrText>
        </w:r>
        <w:r w:rsidR="000F43D6" w:rsidRPr="00EA45EB">
          <w:rPr>
            <w:rStyle w:val="Hyperlink"/>
            <w:rFonts w:ascii="IRBadr" w:hAnsi="IRBadr" w:cs="IRBadr"/>
            <w:noProof/>
            <w:rtl/>
          </w:rPr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F43D6" w:rsidRPr="00EA45EB">
          <w:rPr>
            <w:rFonts w:ascii="IRBadr" w:hAnsi="IRBadr" w:cs="IRBadr"/>
            <w:noProof/>
            <w:webHidden/>
          </w:rPr>
          <w:t>3</w:t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F43D6" w:rsidRPr="00EA45EB" w:rsidRDefault="002D3EA6" w:rsidP="000F43D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682" w:history="1">
        <w:r w:rsidR="000F43D6" w:rsidRPr="00EA45EB">
          <w:rPr>
            <w:rStyle w:val="Hyperlink"/>
            <w:rFonts w:ascii="IRBadr" w:hAnsi="IRBadr" w:cs="IRBadr"/>
            <w:noProof/>
            <w:rtl/>
          </w:rPr>
          <w:t>مستندات بحث</w:t>
        </w:r>
        <w:r w:rsidR="000F43D6" w:rsidRPr="00EA45EB">
          <w:rPr>
            <w:rFonts w:ascii="IRBadr" w:hAnsi="IRBadr" w:cs="IRBadr"/>
            <w:noProof/>
            <w:webHidden/>
          </w:rPr>
          <w:tab/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F43D6" w:rsidRPr="00EA45EB">
          <w:rPr>
            <w:rFonts w:ascii="IRBadr" w:hAnsi="IRBadr" w:cs="IRBadr"/>
            <w:noProof/>
            <w:webHidden/>
          </w:rPr>
          <w:instrText xml:space="preserve"> PAGEREF _Toc428135682 \h </w:instrText>
        </w:r>
        <w:r w:rsidR="000F43D6" w:rsidRPr="00EA45EB">
          <w:rPr>
            <w:rStyle w:val="Hyperlink"/>
            <w:rFonts w:ascii="IRBadr" w:hAnsi="IRBadr" w:cs="IRBadr"/>
            <w:noProof/>
            <w:rtl/>
          </w:rPr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F43D6" w:rsidRPr="00EA45EB">
          <w:rPr>
            <w:rFonts w:ascii="IRBadr" w:hAnsi="IRBadr" w:cs="IRBadr"/>
            <w:noProof/>
            <w:webHidden/>
          </w:rPr>
          <w:t>3</w:t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F43D6" w:rsidRPr="00EA45EB" w:rsidRDefault="002D3EA6" w:rsidP="000F43D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683" w:history="1">
        <w:r w:rsidR="000F43D6" w:rsidRPr="00EA45EB">
          <w:rPr>
            <w:rStyle w:val="Hyperlink"/>
            <w:rFonts w:ascii="IRBadr" w:hAnsi="IRBadr" w:cs="IRBadr"/>
            <w:noProof/>
            <w:rtl/>
          </w:rPr>
          <w:t>روایات طایفه اول</w:t>
        </w:r>
        <w:r w:rsidR="000F43D6" w:rsidRPr="00EA45EB">
          <w:rPr>
            <w:rFonts w:ascii="IRBadr" w:hAnsi="IRBadr" w:cs="IRBadr"/>
            <w:noProof/>
            <w:webHidden/>
          </w:rPr>
          <w:tab/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F43D6" w:rsidRPr="00EA45EB">
          <w:rPr>
            <w:rFonts w:ascii="IRBadr" w:hAnsi="IRBadr" w:cs="IRBadr"/>
            <w:noProof/>
            <w:webHidden/>
          </w:rPr>
          <w:instrText xml:space="preserve"> PAGEREF _Toc428135683 \h </w:instrText>
        </w:r>
        <w:r w:rsidR="000F43D6" w:rsidRPr="00EA45EB">
          <w:rPr>
            <w:rStyle w:val="Hyperlink"/>
            <w:rFonts w:ascii="IRBadr" w:hAnsi="IRBadr" w:cs="IRBadr"/>
            <w:noProof/>
            <w:rtl/>
          </w:rPr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F43D6" w:rsidRPr="00EA45EB">
          <w:rPr>
            <w:rFonts w:ascii="IRBadr" w:hAnsi="IRBadr" w:cs="IRBadr"/>
            <w:noProof/>
            <w:webHidden/>
          </w:rPr>
          <w:t>3</w:t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F43D6" w:rsidRPr="00EA45EB" w:rsidRDefault="002D3EA6" w:rsidP="000F43D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684" w:history="1">
        <w:r w:rsidR="000F43D6" w:rsidRPr="00EA45EB">
          <w:rPr>
            <w:rStyle w:val="Hyperlink"/>
            <w:rFonts w:ascii="IRBadr" w:hAnsi="IRBadr" w:cs="IRBadr"/>
            <w:noProof/>
            <w:rtl/>
          </w:rPr>
          <w:t>روایت اول</w:t>
        </w:r>
        <w:r w:rsidR="000F43D6" w:rsidRPr="00EA45EB">
          <w:rPr>
            <w:rFonts w:ascii="IRBadr" w:hAnsi="IRBadr" w:cs="IRBadr"/>
            <w:noProof/>
            <w:webHidden/>
          </w:rPr>
          <w:tab/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F43D6" w:rsidRPr="00EA45EB">
          <w:rPr>
            <w:rFonts w:ascii="IRBadr" w:hAnsi="IRBadr" w:cs="IRBadr"/>
            <w:noProof/>
            <w:webHidden/>
          </w:rPr>
          <w:instrText xml:space="preserve"> PAGEREF _Toc428135684 \h </w:instrText>
        </w:r>
        <w:r w:rsidR="000F43D6" w:rsidRPr="00EA45EB">
          <w:rPr>
            <w:rStyle w:val="Hyperlink"/>
            <w:rFonts w:ascii="IRBadr" w:hAnsi="IRBadr" w:cs="IRBadr"/>
            <w:noProof/>
            <w:rtl/>
          </w:rPr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F43D6" w:rsidRPr="00EA45EB">
          <w:rPr>
            <w:rFonts w:ascii="IRBadr" w:hAnsi="IRBadr" w:cs="IRBadr"/>
            <w:noProof/>
            <w:webHidden/>
          </w:rPr>
          <w:t>3</w:t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F43D6" w:rsidRPr="00EA45EB" w:rsidRDefault="002D3EA6" w:rsidP="000F43D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685" w:history="1">
        <w:r w:rsidR="000F43D6" w:rsidRPr="00EA45EB">
          <w:rPr>
            <w:rStyle w:val="Hyperlink"/>
            <w:rFonts w:ascii="IRBadr" w:hAnsi="IRBadr" w:cs="IRBadr"/>
            <w:noProof/>
            <w:rtl/>
          </w:rPr>
          <w:t>بررسی سندی روایت</w:t>
        </w:r>
        <w:r w:rsidR="000F43D6" w:rsidRPr="00EA45EB">
          <w:rPr>
            <w:rFonts w:ascii="IRBadr" w:hAnsi="IRBadr" w:cs="IRBadr"/>
            <w:noProof/>
            <w:webHidden/>
          </w:rPr>
          <w:tab/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F43D6" w:rsidRPr="00EA45EB">
          <w:rPr>
            <w:rFonts w:ascii="IRBadr" w:hAnsi="IRBadr" w:cs="IRBadr"/>
            <w:noProof/>
            <w:webHidden/>
          </w:rPr>
          <w:instrText xml:space="preserve"> PAGEREF _Toc428135685 \h </w:instrText>
        </w:r>
        <w:r w:rsidR="000F43D6" w:rsidRPr="00EA45EB">
          <w:rPr>
            <w:rStyle w:val="Hyperlink"/>
            <w:rFonts w:ascii="IRBadr" w:hAnsi="IRBadr" w:cs="IRBadr"/>
            <w:noProof/>
            <w:rtl/>
          </w:rPr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F43D6" w:rsidRPr="00EA45EB">
          <w:rPr>
            <w:rFonts w:ascii="IRBadr" w:hAnsi="IRBadr" w:cs="IRBadr"/>
            <w:noProof/>
            <w:webHidden/>
          </w:rPr>
          <w:t>3</w:t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F43D6" w:rsidRPr="00EA45EB" w:rsidRDefault="002D3EA6" w:rsidP="000F43D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686" w:history="1">
        <w:r w:rsidR="000F43D6" w:rsidRPr="00EA45EB">
          <w:rPr>
            <w:rStyle w:val="Hyperlink"/>
            <w:rFonts w:ascii="IRBadr" w:hAnsi="IRBadr" w:cs="IRBadr"/>
            <w:noProof/>
            <w:rtl/>
          </w:rPr>
          <w:t>بررسی دلالی روایت</w:t>
        </w:r>
        <w:r w:rsidR="000F43D6" w:rsidRPr="00EA45EB">
          <w:rPr>
            <w:rFonts w:ascii="IRBadr" w:hAnsi="IRBadr" w:cs="IRBadr"/>
            <w:noProof/>
            <w:webHidden/>
          </w:rPr>
          <w:tab/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F43D6" w:rsidRPr="00EA45EB">
          <w:rPr>
            <w:rFonts w:ascii="IRBadr" w:hAnsi="IRBadr" w:cs="IRBadr"/>
            <w:noProof/>
            <w:webHidden/>
          </w:rPr>
          <w:instrText xml:space="preserve"> PAGEREF _Toc428135686 \h </w:instrText>
        </w:r>
        <w:r w:rsidR="000F43D6" w:rsidRPr="00EA45EB">
          <w:rPr>
            <w:rStyle w:val="Hyperlink"/>
            <w:rFonts w:ascii="IRBadr" w:hAnsi="IRBadr" w:cs="IRBadr"/>
            <w:noProof/>
            <w:rtl/>
          </w:rPr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F43D6" w:rsidRPr="00EA45EB">
          <w:rPr>
            <w:rFonts w:ascii="IRBadr" w:hAnsi="IRBadr" w:cs="IRBadr"/>
            <w:noProof/>
            <w:webHidden/>
          </w:rPr>
          <w:t>4</w:t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F43D6" w:rsidRPr="00EA45EB" w:rsidRDefault="002D3EA6" w:rsidP="000F43D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687" w:history="1">
        <w:r w:rsidR="000F43D6" w:rsidRPr="00EA45EB">
          <w:rPr>
            <w:rStyle w:val="Hyperlink"/>
            <w:rFonts w:ascii="IRBadr" w:hAnsi="IRBadr" w:cs="IRBadr"/>
            <w:noProof/>
            <w:rtl/>
          </w:rPr>
          <w:t>روایت دوم</w:t>
        </w:r>
        <w:r w:rsidR="000F43D6" w:rsidRPr="00EA45EB">
          <w:rPr>
            <w:rFonts w:ascii="IRBadr" w:hAnsi="IRBadr" w:cs="IRBadr"/>
            <w:noProof/>
            <w:webHidden/>
          </w:rPr>
          <w:tab/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F43D6" w:rsidRPr="00EA45EB">
          <w:rPr>
            <w:rFonts w:ascii="IRBadr" w:hAnsi="IRBadr" w:cs="IRBadr"/>
            <w:noProof/>
            <w:webHidden/>
          </w:rPr>
          <w:instrText xml:space="preserve"> PAGEREF _Toc428135687 \h </w:instrText>
        </w:r>
        <w:r w:rsidR="000F43D6" w:rsidRPr="00EA45EB">
          <w:rPr>
            <w:rStyle w:val="Hyperlink"/>
            <w:rFonts w:ascii="IRBadr" w:hAnsi="IRBadr" w:cs="IRBadr"/>
            <w:noProof/>
            <w:rtl/>
          </w:rPr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F43D6" w:rsidRPr="00EA45EB">
          <w:rPr>
            <w:rFonts w:ascii="IRBadr" w:hAnsi="IRBadr" w:cs="IRBadr"/>
            <w:noProof/>
            <w:webHidden/>
          </w:rPr>
          <w:t>4</w:t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F43D6" w:rsidRPr="00EA45EB" w:rsidRDefault="002D3EA6" w:rsidP="000F43D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688" w:history="1">
        <w:r w:rsidR="000F43D6" w:rsidRPr="00EA45EB">
          <w:rPr>
            <w:rStyle w:val="Hyperlink"/>
            <w:rFonts w:ascii="IRBadr" w:hAnsi="IRBadr" w:cs="IRBadr"/>
            <w:noProof/>
            <w:rtl/>
          </w:rPr>
          <w:t>بررسی دلالی روایت</w:t>
        </w:r>
        <w:r w:rsidR="000F43D6" w:rsidRPr="00EA45EB">
          <w:rPr>
            <w:rFonts w:ascii="IRBadr" w:hAnsi="IRBadr" w:cs="IRBadr"/>
            <w:noProof/>
            <w:webHidden/>
          </w:rPr>
          <w:tab/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F43D6" w:rsidRPr="00EA45EB">
          <w:rPr>
            <w:rFonts w:ascii="IRBadr" w:hAnsi="IRBadr" w:cs="IRBadr"/>
            <w:noProof/>
            <w:webHidden/>
          </w:rPr>
          <w:instrText xml:space="preserve"> PAGEREF _Toc428135688 \h </w:instrText>
        </w:r>
        <w:r w:rsidR="000F43D6" w:rsidRPr="00EA45EB">
          <w:rPr>
            <w:rStyle w:val="Hyperlink"/>
            <w:rFonts w:ascii="IRBadr" w:hAnsi="IRBadr" w:cs="IRBadr"/>
            <w:noProof/>
            <w:rtl/>
          </w:rPr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F43D6" w:rsidRPr="00EA45EB">
          <w:rPr>
            <w:rFonts w:ascii="IRBadr" w:hAnsi="IRBadr" w:cs="IRBadr"/>
            <w:noProof/>
            <w:webHidden/>
          </w:rPr>
          <w:t>5</w:t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F43D6" w:rsidRPr="00EA45EB" w:rsidRDefault="002D3EA6" w:rsidP="000F43D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689" w:history="1">
        <w:r w:rsidR="000F43D6" w:rsidRPr="00EA45EB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0F43D6" w:rsidRPr="00EA45EB">
          <w:rPr>
            <w:rFonts w:ascii="IRBadr" w:hAnsi="IRBadr" w:cs="IRBadr"/>
            <w:noProof/>
            <w:webHidden/>
          </w:rPr>
          <w:tab/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F43D6" w:rsidRPr="00EA45EB">
          <w:rPr>
            <w:rFonts w:ascii="IRBadr" w:hAnsi="IRBadr" w:cs="IRBadr"/>
            <w:noProof/>
            <w:webHidden/>
          </w:rPr>
          <w:instrText xml:space="preserve"> PAGEREF _Toc428135689 \h </w:instrText>
        </w:r>
        <w:r w:rsidR="000F43D6" w:rsidRPr="00EA45EB">
          <w:rPr>
            <w:rStyle w:val="Hyperlink"/>
            <w:rFonts w:ascii="IRBadr" w:hAnsi="IRBadr" w:cs="IRBadr"/>
            <w:noProof/>
            <w:rtl/>
          </w:rPr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F43D6" w:rsidRPr="00EA45EB">
          <w:rPr>
            <w:rFonts w:ascii="IRBadr" w:hAnsi="IRBadr" w:cs="IRBadr"/>
            <w:noProof/>
            <w:webHidden/>
          </w:rPr>
          <w:t>5</w:t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F43D6" w:rsidRPr="00EA45EB" w:rsidRDefault="002D3EA6" w:rsidP="000F43D6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135690" w:history="1">
        <w:r w:rsidR="000F43D6" w:rsidRPr="00EA45EB">
          <w:rPr>
            <w:rStyle w:val="Hyperlink"/>
            <w:rFonts w:ascii="IRBadr" w:hAnsi="IRBadr" w:cs="IRBadr"/>
            <w:noProof/>
            <w:rtl/>
          </w:rPr>
          <w:t>روایت سوم</w:t>
        </w:r>
        <w:r w:rsidR="000F43D6" w:rsidRPr="00EA45EB">
          <w:rPr>
            <w:rFonts w:ascii="IRBadr" w:hAnsi="IRBadr" w:cs="IRBadr"/>
            <w:noProof/>
            <w:webHidden/>
          </w:rPr>
          <w:tab/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F43D6" w:rsidRPr="00EA45EB">
          <w:rPr>
            <w:rFonts w:ascii="IRBadr" w:hAnsi="IRBadr" w:cs="IRBadr"/>
            <w:noProof/>
            <w:webHidden/>
          </w:rPr>
          <w:instrText xml:space="preserve"> PAGEREF _Toc428135690 \h </w:instrText>
        </w:r>
        <w:r w:rsidR="000F43D6" w:rsidRPr="00EA45EB">
          <w:rPr>
            <w:rStyle w:val="Hyperlink"/>
            <w:rFonts w:ascii="IRBadr" w:hAnsi="IRBadr" w:cs="IRBadr"/>
            <w:noProof/>
            <w:rtl/>
          </w:rPr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F43D6" w:rsidRPr="00EA45EB">
          <w:rPr>
            <w:rFonts w:ascii="IRBadr" w:hAnsi="IRBadr" w:cs="IRBadr"/>
            <w:noProof/>
            <w:webHidden/>
          </w:rPr>
          <w:t>5</w:t>
        </w:r>
        <w:r w:rsidR="000F43D6" w:rsidRPr="00EA45E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F43D6" w:rsidRPr="00EA45EB" w:rsidRDefault="000F43D6" w:rsidP="000F43D6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b/>
          <w:bCs/>
          <w:sz w:val="28"/>
          <w:szCs w:val="28"/>
          <w:rtl/>
          <w:lang w:bidi="fa-IR"/>
        </w:rPr>
        <w:fldChar w:fldCharType="end"/>
      </w:r>
    </w:p>
    <w:p w:rsidR="00EA45EB" w:rsidRDefault="00EA45EB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8135676"/>
      <w:r>
        <w:rPr>
          <w:rFonts w:ascii="IRBadr" w:hAnsi="IRBadr" w:cs="IRBadr"/>
          <w:rtl/>
        </w:rPr>
        <w:br w:type="page"/>
      </w:r>
    </w:p>
    <w:p w:rsidR="00DE0AAF" w:rsidRPr="00EA45EB" w:rsidRDefault="00DE0AAF" w:rsidP="000F43D6">
      <w:pPr>
        <w:pStyle w:val="Heading1"/>
        <w:rPr>
          <w:rFonts w:ascii="IRBadr" w:hAnsi="IRBadr" w:cs="IRBadr"/>
          <w:rtl/>
        </w:rPr>
      </w:pPr>
      <w:r w:rsidRPr="00EA45EB">
        <w:rPr>
          <w:rFonts w:ascii="IRBadr" w:hAnsi="IRBadr" w:cs="IRBadr"/>
          <w:rtl/>
        </w:rPr>
        <w:lastRenderedPageBreak/>
        <w:t>طرق ثبوت سرقت</w:t>
      </w:r>
      <w:bookmarkEnd w:id="0"/>
    </w:p>
    <w:p w:rsidR="00DE0AAF" w:rsidRPr="00EA45EB" w:rsidRDefault="005C0D0A" w:rsidP="000F43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sz w:val="28"/>
          <w:szCs w:val="28"/>
          <w:rtl/>
          <w:lang w:bidi="fa-IR"/>
        </w:rPr>
        <w:t>راه‌هایی</w:t>
      </w:r>
      <w:r w:rsidR="00DE0AAF" w:rsidRPr="00EA45EB">
        <w:rPr>
          <w:rFonts w:ascii="IRBadr" w:hAnsi="IRBadr" w:cs="IRBadr"/>
          <w:sz w:val="28"/>
          <w:szCs w:val="28"/>
          <w:rtl/>
          <w:lang w:bidi="fa-IR"/>
        </w:rPr>
        <w:t xml:space="preserve"> که برای ثبوت سرقت قرار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="00DE0AAF" w:rsidRPr="00EA45EB">
        <w:rPr>
          <w:rFonts w:ascii="IRBadr" w:hAnsi="IRBadr" w:cs="IRBadr"/>
          <w:sz w:val="28"/>
          <w:szCs w:val="28"/>
          <w:rtl/>
          <w:lang w:bidi="fa-IR"/>
        </w:rPr>
        <w:t xml:space="preserve"> است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به‌مراتب</w:t>
      </w:r>
      <w:r w:rsidR="00DE0AAF" w:rsidRPr="00EA45E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سخت‌گیرانه‌تر</w:t>
      </w:r>
      <w:r w:rsidR="00DE0AAF" w:rsidRPr="00EA45EB">
        <w:rPr>
          <w:rFonts w:ascii="IRBadr" w:hAnsi="IRBadr" w:cs="IRBadr"/>
          <w:sz w:val="28"/>
          <w:szCs w:val="28"/>
          <w:rtl/>
          <w:lang w:bidi="fa-IR"/>
        </w:rPr>
        <w:t xml:space="preserve"> از اثبات ضمان در سرقت است،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DE0AAF" w:rsidRPr="00EA45E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>راه‌هایی</w:t>
      </w:r>
      <w:r w:rsidR="00DE0AAF" w:rsidRPr="00EA45EB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="00DE0AAF" w:rsidRPr="00EA45EB">
        <w:rPr>
          <w:rFonts w:ascii="IRBadr" w:hAnsi="IRBadr" w:cs="IRBadr"/>
          <w:sz w:val="28"/>
          <w:szCs w:val="28"/>
          <w:rtl/>
          <w:lang w:bidi="fa-IR"/>
        </w:rPr>
        <w:t xml:space="preserve"> بیان شود،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منظور</w:t>
      </w:r>
      <w:r w:rsidR="00DE0AAF" w:rsidRPr="00EA45EB">
        <w:rPr>
          <w:rFonts w:ascii="IRBadr" w:hAnsi="IRBadr" w:cs="IRBadr"/>
          <w:sz w:val="28"/>
          <w:szCs w:val="28"/>
          <w:rtl/>
          <w:lang w:bidi="fa-IR"/>
        </w:rPr>
        <w:t xml:space="preserve"> از 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DE0AAF" w:rsidRPr="00EA45E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>راه‌های</w:t>
      </w:r>
      <w:r w:rsidR="00DE0AAF" w:rsidRPr="00EA45EB">
        <w:rPr>
          <w:rFonts w:ascii="IRBadr" w:hAnsi="IRBadr" w:cs="IRBadr"/>
          <w:sz w:val="28"/>
          <w:szCs w:val="28"/>
          <w:rtl/>
          <w:lang w:bidi="fa-IR"/>
        </w:rPr>
        <w:t xml:space="preserve"> ثبوت قطع است و ممکن است با یکی از این 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>راه‌ها</w:t>
      </w:r>
      <w:r w:rsidR="00DE0AAF" w:rsidRPr="00EA45EB">
        <w:rPr>
          <w:rFonts w:ascii="IRBadr" w:hAnsi="IRBadr" w:cs="IRBadr"/>
          <w:sz w:val="28"/>
          <w:szCs w:val="28"/>
          <w:rtl/>
          <w:lang w:bidi="fa-IR"/>
        </w:rPr>
        <w:t xml:space="preserve"> ضمان ثابت گردد.</w:t>
      </w:r>
    </w:p>
    <w:p w:rsidR="00DE0AAF" w:rsidRPr="00EA45EB" w:rsidRDefault="00DE0AAF" w:rsidP="000F43D6">
      <w:pPr>
        <w:pStyle w:val="Heading1"/>
        <w:rPr>
          <w:rFonts w:ascii="IRBadr" w:hAnsi="IRBadr" w:cs="IRBadr"/>
          <w:rtl/>
        </w:rPr>
      </w:pPr>
      <w:bookmarkStart w:id="1" w:name="_Toc428135677"/>
      <w:r w:rsidRPr="00EA45EB">
        <w:rPr>
          <w:rFonts w:ascii="IRBadr" w:hAnsi="IRBadr" w:cs="IRBadr"/>
          <w:rtl/>
        </w:rPr>
        <w:t>ادله حجیت اقرار</w:t>
      </w:r>
      <w:bookmarkEnd w:id="1"/>
    </w:p>
    <w:p w:rsidR="00DE0AAF" w:rsidRPr="00EA45EB" w:rsidRDefault="00DE0AAF" w:rsidP="001B773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یکی از طرق اثبات دعوا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اقرار است. یکی از ادله حجیت اقرار سیره مسلم عقلاست که در این مقام وجود دارد و در شرع نیز نسبت به آن ردعی صورت نگرفته است،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علاوه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بر آن موارد متعددی در فقه وجود دارد که در آن از اقرار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یکی از طرق اثبات دعاوی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استفاده‌شده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آن‌قدر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زیاد است که انسان مطمئن می‌شود که می‌شود ال</w:t>
      </w:r>
      <w:r w:rsidR="001B7739">
        <w:rPr>
          <w:rFonts w:ascii="IRBadr" w:hAnsi="IRBadr" w:cs="IRBadr" w:hint="cs"/>
          <w:sz w:val="28"/>
          <w:szCs w:val="28"/>
          <w:rtl/>
          <w:lang w:bidi="fa-IR"/>
        </w:rPr>
        <w:t>غ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>ا</w:t>
      </w:r>
      <w:bookmarkStart w:id="2" w:name="_GoBack"/>
      <w:bookmarkEnd w:id="2"/>
      <w:r w:rsidRPr="00EA45EB">
        <w:rPr>
          <w:rFonts w:ascii="IRBadr" w:hAnsi="IRBadr" w:cs="IRBadr"/>
          <w:sz w:val="28"/>
          <w:szCs w:val="28"/>
          <w:rtl/>
          <w:lang w:bidi="fa-IR"/>
        </w:rPr>
        <w:t>ی خصوصیت کرد و قاعده کلی به دست آورد.</w:t>
      </w:r>
    </w:p>
    <w:p w:rsidR="00DE0AAF" w:rsidRPr="00EA45EB" w:rsidRDefault="00DE0AAF" w:rsidP="000F43D6">
      <w:pPr>
        <w:pStyle w:val="Heading1"/>
        <w:rPr>
          <w:rFonts w:ascii="IRBadr" w:hAnsi="IRBadr" w:cs="IRBadr"/>
          <w:rtl/>
        </w:rPr>
      </w:pPr>
      <w:bookmarkStart w:id="3" w:name="_Toc428135678"/>
      <w:r w:rsidRPr="00EA45EB">
        <w:rPr>
          <w:rFonts w:ascii="IRBadr" w:hAnsi="IRBadr" w:cs="IRBadr"/>
          <w:rtl/>
        </w:rPr>
        <w:t>تفاوت اقرار در این مقام</w:t>
      </w:r>
      <w:bookmarkEnd w:id="3"/>
    </w:p>
    <w:p w:rsidR="00DE0AAF" w:rsidRPr="00EA45EB" w:rsidRDefault="00DE0AAF" w:rsidP="000F43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sz w:val="28"/>
          <w:szCs w:val="28"/>
          <w:rtl/>
          <w:lang w:bidi="fa-IR"/>
        </w:rPr>
        <w:t>البته مراد از اقرار،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اقرار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علی الانفس است، اقراری که به ضرر خود فرد باشد، در اینجا اختلاف جزیی وجود دارد که اقرار در باب سرقت از سایر اقرارها دارای تفاوتی است،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قاعده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اقرار کفایت 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اما در اینجا در مواردی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است که باید بیش از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باشد.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باید توجه داشت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که اشاره شد بحث در اقرار مثبت حد است نه مثبت ضمان.</w:t>
      </w:r>
    </w:p>
    <w:p w:rsidR="00DE0AAF" w:rsidRPr="00EA45EB" w:rsidRDefault="00496073" w:rsidP="000F43D6">
      <w:pPr>
        <w:pStyle w:val="Heading1"/>
        <w:rPr>
          <w:rFonts w:ascii="IRBadr" w:hAnsi="IRBadr" w:cs="IRBadr"/>
          <w:rtl/>
        </w:rPr>
      </w:pPr>
      <w:bookmarkStart w:id="4" w:name="_Toc428135679"/>
      <w:r w:rsidRPr="00EA45EB">
        <w:rPr>
          <w:rFonts w:ascii="IRBadr" w:hAnsi="IRBadr" w:cs="IRBadr"/>
          <w:rtl/>
        </w:rPr>
        <w:t>جمع‌بندی</w:t>
      </w:r>
      <w:bookmarkEnd w:id="4"/>
    </w:p>
    <w:p w:rsidR="00DE0AAF" w:rsidRPr="00EA45EB" w:rsidRDefault="00DE0AAF" w:rsidP="000F43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پس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اقرار 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با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مثبت ضمان باشد،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طبق عقیده مشهور چه در خاصه و چه در عامه مثبتیتی در قبال حد ندارد بلکه اقرار باید تکرر پیدا بکند تا حد قطع ثابت شود.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پس در مواردی این قاعده کلی تخصیص خورده است. یکی در باب زنا است که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باید چهار بار اقرار کند. در باب سرقت هم این قاعده کلی که اقرار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کافی است، تخصیص خورده به اینکه باید دو بار باشد و عند القاضی تکرار شود.</w:t>
      </w:r>
    </w:p>
    <w:p w:rsidR="00DE0AAF" w:rsidRPr="00EA45EB" w:rsidRDefault="00DE0AAF" w:rsidP="000F43D6">
      <w:pPr>
        <w:pStyle w:val="Heading1"/>
        <w:rPr>
          <w:rFonts w:ascii="IRBadr" w:hAnsi="IRBadr" w:cs="IRBadr"/>
          <w:rtl/>
        </w:rPr>
      </w:pPr>
      <w:bookmarkStart w:id="5" w:name="_Toc428135680"/>
      <w:r w:rsidRPr="00EA45EB">
        <w:rPr>
          <w:rFonts w:ascii="IRBadr" w:hAnsi="IRBadr" w:cs="IRBadr"/>
          <w:rtl/>
        </w:rPr>
        <w:lastRenderedPageBreak/>
        <w:t>اقوال در این مقام</w:t>
      </w:r>
      <w:bookmarkEnd w:id="5"/>
    </w:p>
    <w:p w:rsidR="00DE0AAF" w:rsidRPr="00EA45EB" w:rsidRDefault="00DE0AAF" w:rsidP="000F43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در بین متأخرین آقای خویی و تبریزی معتقد به اعتبار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در باب سرقت 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>.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بین متأخرین هم مثل حضرت امام و آقای فاضل به همین ضرورت دو بار رأی دادند که قول اول باشد. مرحوم آقای خوانساری هم در جامع المدارک با یک ابهام و تردیدی با مسئله مواجه شده است. گرچه شاید بیشتر قول مشهور را ترجیح داده است.</w:t>
      </w:r>
    </w:p>
    <w:p w:rsidR="00DE0AAF" w:rsidRPr="00EA45EB" w:rsidRDefault="00DE0AAF" w:rsidP="000F43D6">
      <w:pPr>
        <w:pStyle w:val="Heading1"/>
        <w:rPr>
          <w:rFonts w:ascii="IRBadr" w:hAnsi="IRBadr" w:cs="IRBadr"/>
          <w:rtl/>
        </w:rPr>
      </w:pPr>
      <w:bookmarkStart w:id="6" w:name="_Toc428135681"/>
      <w:r w:rsidRPr="00EA45EB">
        <w:rPr>
          <w:rFonts w:ascii="IRBadr" w:hAnsi="IRBadr" w:cs="IRBadr"/>
          <w:rtl/>
        </w:rPr>
        <w:t>اقوال عامه در این باب</w:t>
      </w:r>
      <w:bookmarkEnd w:id="6"/>
    </w:p>
    <w:p w:rsidR="00DE0AAF" w:rsidRPr="00EA45EB" w:rsidRDefault="00DE0AAF" w:rsidP="000F43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از عامه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است که در این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ابن ابی لیلا، ابی یوسف،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ظهیر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و ابن شرمه طبق روایت امام علی (ع) به قول مشهور قائل هستند اما در نقطه مقابل عطاء،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سوری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>،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ابی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حنیفه،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شافعی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و محمد بن حسن به اعتبار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معتقد 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>.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اعتقاد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گروه دوم بر این است که در اینجا نیز بر اساس همان قاعده کلی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کفایت خواهد کرد.</w:t>
      </w:r>
    </w:p>
    <w:p w:rsidR="00DE0AAF" w:rsidRPr="00EA45EB" w:rsidRDefault="00DE0AAF" w:rsidP="000F43D6">
      <w:pPr>
        <w:pStyle w:val="Heading2"/>
        <w:rPr>
          <w:rFonts w:ascii="IRBadr" w:hAnsi="IRBadr" w:cs="IRBadr"/>
          <w:rtl/>
        </w:rPr>
      </w:pPr>
      <w:bookmarkStart w:id="7" w:name="_Toc428135682"/>
      <w:r w:rsidRPr="00EA45EB">
        <w:rPr>
          <w:rFonts w:ascii="IRBadr" w:hAnsi="IRBadr" w:cs="IRBadr"/>
          <w:rtl/>
        </w:rPr>
        <w:t>مستندات بحث</w:t>
      </w:r>
      <w:bookmarkEnd w:id="7"/>
    </w:p>
    <w:p w:rsidR="00DE0AAF" w:rsidRPr="00EA45EB" w:rsidRDefault="00DE0AAF" w:rsidP="000F43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طبعاً به خاطر مخالفت حکم به دو بار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باقاعده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در اقرار همانند باب زنا نیز باید دلیلی خاص وجود داشته باشد،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اینجا ما دو طایفه روایات داریم که یک طایفه دلالت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بر دو بار می‌کند و یک طایفه بر همان کفایت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در اقرار دلالت می‌کند. این روایات در همین جلد هیجده، ابواب حد سرقت، باب سوم، صفحه چهارصد و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هشتادوهفت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DE0AAF" w:rsidRPr="00EA45EB" w:rsidRDefault="00DE0AAF" w:rsidP="000F43D6">
      <w:pPr>
        <w:pStyle w:val="Heading2"/>
        <w:rPr>
          <w:rFonts w:ascii="IRBadr" w:hAnsi="IRBadr" w:cs="IRBadr"/>
          <w:rtl/>
        </w:rPr>
      </w:pPr>
      <w:bookmarkStart w:id="8" w:name="_Toc428135683"/>
      <w:r w:rsidRPr="00EA45EB">
        <w:rPr>
          <w:rFonts w:ascii="IRBadr" w:hAnsi="IRBadr" w:cs="IRBadr"/>
          <w:rtl/>
        </w:rPr>
        <w:t>روایات طایفه اول</w:t>
      </w:r>
      <w:bookmarkEnd w:id="8"/>
    </w:p>
    <w:p w:rsidR="00DE0AAF" w:rsidRPr="00EA45EB" w:rsidRDefault="00DE0AAF" w:rsidP="000F43D6">
      <w:pPr>
        <w:pStyle w:val="Heading2"/>
        <w:rPr>
          <w:rFonts w:ascii="IRBadr" w:hAnsi="IRBadr" w:cs="IRBadr"/>
          <w:rtl/>
        </w:rPr>
      </w:pPr>
      <w:bookmarkStart w:id="9" w:name="_Toc428135684"/>
      <w:r w:rsidRPr="00EA45EB">
        <w:rPr>
          <w:rFonts w:ascii="IRBadr" w:hAnsi="IRBadr" w:cs="IRBadr"/>
          <w:rtl/>
        </w:rPr>
        <w:t>روایت اول</w:t>
      </w:r>
      <w:bookmarkEnd w:id="9"/>
    </w:p>
    <w:p w:rsidR="00DE0AAF" w:rsidRPr="00EA45EB" w:rsidRDefault="00DE0AAF" w:rsidP="000F43D6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0"/>
          <w:szCs w:val="20"/>
          <w:rtl/>
          <w:lang w:bidi="fa-IR"/>
        </w:rPr>
      </w:pP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«مُحَمَّدُ بْنُ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أَحْمَدَ بْنِ مُحَمَّدٍ عَنْ عَلِ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حَدِ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دٍ عَنْ جَمِ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لِ بْنِ دَرَّاجٍ عَنْ بَعْضِ أَصْحَابِنَا عَنْ أَحَدِهِمَا ع فِ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رَجُلٍ أَقَرَّ عَلَ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نَفْسِهِ بِالزِّنَ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أَرْبَعَ مَرَّاتٍ وَ هُوَ مُحْصَنٌ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رْجَمُ إِلَ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أَنْ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مُوتَ أَوْ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ذِّبَ نَفْسَهُ قَبْلَ أَنْ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رْجَمَ فَ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قُولَ لَمْ أَفْعَلْ فَإِنْ قَالَ ذَلِ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>تُرِ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لَمْ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رْجَمْ وَ قَالَ لَا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قْطَعُ السَّارِقُ حَتَّ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قِرَّ بِالسَّرِقَةِ مَرَّتَ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نِ فَإِنْ رَجَعَ ضَمِنَ السَّرِقَةَ وَ لَمْ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قْطَعْ إِذَا لَمْ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نْ شُهُودٌ وَ قَالَ لَا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رْجَمُ الزَّانِ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حَتَّ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قِرَّ أَرْبَعَ مَرَّاتٍ بِالزِّنَ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إِذَا لَمْ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نْ شُهُودٌ فَإِنْ رَجَعَ تُرِ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لَمْ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رْجَمْ.»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DE0AAF" w:rsidRPr="00EA45EB" w:rsidRDefault="00DE0AAF" w:rsidP="000F43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طبق روایت برای قطع ید دو بار اقرار لازم است اما برای ضمان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اقرار کفایت 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E0AAF" w:rsidRPr="00EA45EB" w:rsidRDefault="00DE0AAF" w:rsidP="000F43D6">
      <w:pPr>
        <w:pStyle w:val="Heading2"/>
        <w:rPr>
          <w:rFonts w:ascii="IRBadr" w:hAnsi="IRBadr" w:cs="IRBadr"/>
          <w:rtl/>
        </w:rPr>
      </w:pPr>
      <w:bookmarkStart w:id="10" w:name="_Toc428135685"/>
      <w:r w:rsidRPr="00EA45EB">
        <w:rPr>
          <w:rFonts w:ascii="IRBadr" w:hAnsi="IRBadr" w:cs="IRBadr"/>
          <w:rtl/>
        </w:rPr>
        <w:t>بررسی سندی روایت</w:t>
      </w:r>
      <w:bookmarkEnd w:id="10"/>
    </w:p>
    <w:p w:rsidR="00DE0AAF" w:rsidRPr="00EA45EB" w:rsidRDefault="00DE0AAF" w:rsidP="000F43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روایت فوق روایتی مرسل است ولی ادامه سند صحیح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هست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>.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قبال جمیل بن دراج اجماع وجود دارد و اگر کسی این اجماع را نپذیرد،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ارسال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او در اینجا مضر نخواهد بود.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ما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در میان اصحاب اجماع تنها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سه‌نفری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که در عده شیخ نامبرده 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را قبول داریم،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قبال آن سه نفر روایاتی که اسم برده و توثیق کرده باشند را 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>می‌پذیریم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اما مرسلات آن‌ها را قبول نداریم. لذا ارسال این روایت موجب ضعف می‌شود مگر اینکه کسی اصحاب اجماع را به آن کلیت قبول داشته باشد.</w:t>
      </w:r>
    </w:p>
    <w:p w:rsidR="00DE0AAF" w:rsidRPr="00EA45EB" w:rsidRDefault="00DE0AAF" w:rsidP="000F43D6">
      <w:pPr>
        <w:pStyle w:val="Heading2"/>
        <w:rPr>
          <w:rFonts w:ascii="IRBadr" w:hAnsi="IRBadr" w:cs="IRBadr"/>
          <w:rtl/>
        </w:rPr>
      </w:pPr>
      <w:bookmarkStart w:id="11" w:name="_Toc428135686"/>
      <w:r w:rsidRPr="00EA45EB">
        <w:rPr>
          <w:rFonts w:ascii="IRBadr" w:hAnsi="IRBadr" w:cs="IRBadr"/>
          <w:rtl/>
        </w:rPr>
        <w:t>بررسی دلالی روایت</w:t>
      </w:r>
      <w:bookmarkEnd w:id="11"/>
    </w:p>
    <w:p w:rsidR="00DE0AAF" w:rsidRPr="00EA45EB" w:rsidRDefault="00DE0AAF" w:rsidP="000F43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دو احتمال در رجع است. یکی اینکه بعد از دو اقرار رجوع کرد. یکی اینکه بین این‌ها رجوع نموده است. شاید ظهور اولیه‌اش همین باشد که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بعدازاینکه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دو بار اقرار محقق شد رجوع کرده است. ولی بعضی بر رجوع بین الاقرارین حمل کردند که آن در جای خودش باید بحث بشود.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در اینجا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مدنظر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است این بوده که این روایت مخصص قاعده کلی اقرار است.</w:t>
      </w:r>
    </w:p>
    <w:p w:rsidR="00DE0AAF" w:rsidRPr="00EA45EB" w:rsidRDefault="00DE0AAF" w:rsidP="000F43D6">
      <w:pPr>
        <w:pStyle w:val="Heading2"/>
        <w:rPr>
          <w:rFonts w:ascii="IRBadr" w:hAnsi="IRBadr" w:cs="IRBadr"/>
          <w:rtl/>
        </w:rPr>
      </w:pPr>
      <w:bookmarkStart w:id="12" w:name="_Toc428135687"/>
      <w:r w:rsidRPr="00EA45EB">
        <w:rPr>
          <w:rFonts w:ascii="IRBadr" w:hAnsi="IRBadr" w:cs="IRBadr"/>
          <w:rtl/>
        </w:rPr>
        <w:t>روایت دوم</w:t>
      </w:r>
      <w:bookmarkEnd w:id="12"/>
    </w:p>
    <w:p w:rsidR="00DE0AAF" w:rsidRPr="00EA45EB" w:rsidRDefault="00DE0AAF" w:rsidP="000F43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sz w:val="28"/>
          <w:szCs w:val="28"/>
          <w:rtl/>
          <w:lang w:bidi="fa-IR"/>
        </w:rPr>
        <w:t>دلیل دیگر روایت چهارم این باب است که سندش کاملاً معتبر است؛</w:t>
      </w:r>
    </w:p>
    <w:p w:rsidR="00DE0AAF" w:rsidRPr="00EA45EB" w:rsidRDefault="00DE0AAF" w:rsidP="000F43D6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«وَ عَنْهُ عَنْ فَضَالَةَ عَنْ أَبَانِ بْنِ عُثْمَانَ عَنْ أَبِ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أَنَّهُ قَالَ: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نْتُ عِنْدَ عِ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مُوسَ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- فَأُتِ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بِسَارِقٍ وَ عِنْدَهُ رَجُلٌ مِنْ آلِ عُمَرَ فَأَقْبَلَ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سْأَلُنِ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- فَقُلْتُ مَا تَقُولُ فِ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السَّارِقِ- إِذَا أَقَرَّ عَلَ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نَفْسِهِ أَنَّهُ سَرَقَ قَالَ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قْطَعُ- قُلْتُ (فَمَا تَقُولُ فِ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>الزِّنَا)- إِذَا أَقَرَّ عَلَ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نَفْسِهِ أَرْبَعَ مَرَّاتٍ قَالَ نَرْجُمُهُ- قُلْتُ وَ مَا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مْنَعُ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مْ مِنَ السَّارِقِ- إِذَا أَقَرَّ عَلَ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نَفْسِهِ مَرَّتَ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نِ- أَنْ تَقْطَعُوهُ فَ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ونَ بِمَنْزِلَةِ الزَّانِ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.» 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2"/>
      </w:r>
    </w:p>
    <w:p w:rsidR="00DE0AAF" w:rsidRPr="00EA45EB" w:rsidRDefault="00DE0AAF" w:rsidP="000F43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sz w:val="28"/>
          <w:szCs w:val="28"/>
          <w:rtl/>
          <w:lang w:bidi="fa-IR"/>
        </w:rPr>
        <w:t>امام می‌گوید نزد عیسی بن موسی بودم که احتمالاً حاکم مدینه یا قاضی آنجا بوده است که دزدی را آوردند از آل عمر و در آن مجلس عیسی بن موسی از من سؤالاتی پرسید،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حضرت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به او گفتم نظر تو در قبال سارق چیست؟</w:t>
      </w:r>
    </w:p>
    <w:p w:rsidR="00DE0AAF" w:rsidRPr="00EA45EB" w:rsidRDefault="00DE0AAF" w:rsidP="000F43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او گفت رجم می‌کنیم. حضرت می‌گوید از او (که عامه بوده است) سؤال کردم اگر کسی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به سرقت اقرار کند حکم تو چیست؟ می‌گوید دستش را قطع می‌کنم.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آن‌وقت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حضرت می‌فرماید اگر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است چه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شمارا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بازمی‌دارد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که در سارق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دو بار را ملاک قرار 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>نمی‌دهید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تا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به‌منزله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زانی باشد؟ دلالت و سند این روایت معتبر است و بسیاری از قائلین قول اول بدان تکیه 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E0AAF" w:rsidRPr="00EA45EB" w:rsidRDefault="00DE0AAF" w:rsidP="000F43D6">
      <w:pPr>
        <w:pStyle w:val="Heading2"/>
        <w:rPr>
          <w:rFonts w:ascii="IRBadr" w:hAnsi="IRBadr" w:cs="IRBadr"/>
          <w:rtl/>
        </w:rPr>
      </w:pPr>
      <w:bookmarkStart w:id="13" w:name="_Toc428135688"/>
      <w:r w:rsidRPr="00EA45EB">
        <w:rPr>
          <w:rFonts w:ascii="IRBadr" w:hAnsi="IRBadr" w:cs="IRBadr"/>
          <w:rtl/>
        </w:rPr>
        <w:t>بررسی دلالی روایت</w:t>
      </w:r>
      <w:bookmarkEnd w:id="13"/>
    </w:p>
    <w:p w:rsidR="00DE0AAF" w:rsidRPr="00EA45EB" w:rsidRDefault="00DE0AAF" w:rsidP="000F43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در روایت دو احتمال وجود دارد یکی اینکه حضرت 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>می‌خواهند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به او بفرمایند حق این است که باید در این مقام دو بار اقرار صورت بگیرد،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که آقای تبریزی این احتمال را مطرح 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>، منتها به آن‌ها می‌گوید، شما که اهل قیاسید چرا اینجا قیاس نمی‌کنید؟! یک احتمال نیز این است که حقیقتاً نظر امام همین بوده است.</w:t>
      </w:r>
    </w:p>
    <w:p w:rsidR="00DE0AAF" w:rsidRPr="00EA45EB" w:rsidRDefault="00DE0AAF" w:rsidP="000F43D6">
      <w:pPr>
        <w:pStyle w:val="Heading2"/>
        <w:rPr>
          <w:rFonts w:ascii="IRBadr" w:hAnsi="IRBadr" w:cs="IRBadr"/>
          <w:rtl/>
        </w:rPr>
      </w:pPr>
      <w:bookmarkStart w:id="14" w:name="_Toc428135689"/>
      <w:r w:rsidRPr="00EA45EB">
        <w:rPr>
          <w:rFonts w:ascii="IRBadr" w:hAnsi="IRBadr" w:cs="IRBadr"/>
          <w:rtl/>
        </w:rPr>
        <w:t>اتخاذ مبنا</w:t>
      </w:r>
      <w:bookmarkEnd w:id="14"/>
    </w:p>
    <w:p w:rsidR="00DE0AAF" w:rsidRPr="00EA45EB" w:rsidRDefault="00DE0AAF" w:rsidP="000F43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sz w:val="28"/>
          <w:szCs w:val="28"/>
          <w:rtl/>
          <w:lang w:bidi="fa-IR"/>
        </w:rPr>
        <w:t>با قرینه قاطعی نتوانستم رجحانی بین یکی از دو احتمال پیدا کنم. و بیشتر به ذهن می‌آید که این روایت حالت اجمال دارد. معلوم نیست فضای بحث چه بوده است.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در اینجا 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احتمال سومی را مطرح نمود که امام در مقام بیان یکی از دو قول </w:t>
      </w:r>
      <w:r w:rsidR="005C0D0A" w:rsidRPr="00EA45EB">
        <w:rPr>
          <w:rFonts w:ascii="IRBadr" w:hAnsi="IRBadr" w:cs="IRBadr"/>
          <w:sz w:val="28"/>
          <w:szCs w:val="28"/>
          <w:rtl/>
          <w:lang w:bidi="fa-IR"/>
        </w:rPr>
        <w:t>نبوده‌اند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. می‌خواهد به او بگوید نظرتان صدر و ذیلش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باهم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سازگار نیست. اگر شما قیاس را قبول دارید باید برسید به دو بار. اگر قبول ندارید مبنایتان درست نیست و این نتیجه که می‌گیرید با مقدماتتان سازگار نیست.</w:t>
      </w:r>
    </w:p>
    <w:p w:rsidR="00DE0AAF" w:rsidRPr="00EA45EB" w:rsidRDefault="00DE0AAF" w:rsidP="000F43D6">
      <w:pPr>
        <w:pStyle w:val="Heading2"/>
        <w:rPr>
          <w:rFonts w:ascii="IRBadr" w:hAnsi="IRBadr" w:cs="IRBadr"/>
          <w:rtl/>
        </w:rPr>
      </w:pPr>
      <w:bookmarkStart w:id="15" w:name="_Toc428135690"/>
      <w:r w:rsidRPr="00EA45EB">
        <w:rPr>
          <w:rFonts w:ascii="IRBadr" w:hAnsi="IRBadr" w:cs="IRBadr"/>
          <w:rtl/>
        </w:rPr>
        <w:t>روایت سوم</w:t>
      </w:r>
      <w:bookmarkEnd w:id="15"/>
    </w:p>
    <w:p w:rsidR="00DE0AAF" w:rsidRPr="00EA45EB" w:rsidRDefault="00DE0AAF" w:rsidP="000F43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این روایت هم سندش ضعیف است یا </w:t>
      </w:r>
      <w:r w:rsidR="00496073" w:rsidRPr="00EA45EB">
        <w:rPr>
          <w:rFonts w:ascii="IRBadr" w:hAnsi="IRBadr" w:cs="IRBadr"/>
          <w:sz w:val="28"/>
          <w:szCs w:val="28"/>
          <w:rtl/>
          <w:lang w:bidi="fa-IR"/>
        </w:rPr>
        <w:t>مبتلابه</w:t>
      </w:r>
      <w:r w:rsidRPr="00EA45EB">
        <w:rPr>
          <w:rFonts w:ascii="IRBadr" w:hAnsi="IRBadr" w:cs="IRBadr"/>
          <w:sz w:val="28"/>
          <w:szCs w:val="28"/>
          <w:rtl/>
          <w:lang w:bidi="fa-IR"/>
        </w:rPr>
        <w:t xml:space="preserve"> تضعیف است و یا توثیقی ندارد و مانع در قبال علی بن سندی است که توثیقی ندارد.</w:t>
      </w:r>
    </w:p>
    <w:p w:rsidR="00DE0AAF" w:rsidRPr="00EA45EB" w:rsidRDefault="00DE0AAF" w:rsidP="000F43D6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>« عَنْ عَلِ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حَدِ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دٍ عَنْ جَمِ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لِ بْنِ دَرَّاجٍ عَنْ بَعْضِ أَصْحَابِنَا عَنْ أَحَدِهِمَا ع قَالَ: لَا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قْطَعُ السَّارِقُ حَتَّ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قِرَّ بِالسَّرِقَةِ مَرَّتَ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نِ فَإِنْ رَجَعَ ضَمِنَ السَّرِقَةَ وَ لَمْ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قْطَعْ إِذَا لَمْ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نْ شُهُودٌ وَ قَالَ لَا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رْجَمُ الزَّانِ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حَتَّ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قِرَّ أَرْبَعَ مَرَّاتٍ إِذَا لَمْ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نْ شُهُودٌ فَإِنْ رَجَعَ تُرِ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لَمْ 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رْجَمْ.</w:t>
      </w:r>
      <w:r w:rsidR="005C0D0A"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EA45EB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3"/>
      </w:r>
    </w:p>
    <w:p w:rsidR="00DE0AAF" w:rsidRPr="00EA45EB" w:rsidRDefault="00DE0AAF" w:rsidP="000F43D6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color w:val="000000"/>
          <w:sz w:val="2"/>
          <w:szCs w:val="2"/>
          <w:rtl/>
          <w:lang w:bidi="fa-IR"/>
        </w:rPr>
      </w:pPr>
    </w:p>
    <w:p w:rsidR="00DE0AAF" w:rsidRPr="00EA45EB" w:rsidRDefault="00DE0AAF" w:rsidP="000F43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EA45EB" w:rsidRDefault="00152670" w:rsidP="000F43D6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EA45EB" w:rsidSect="000D580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EA6" w:rsidRDefault="002D3EA6" w:rsidP="000D5800">
      <w:pPr>
        <w:spacing w:after="0" w:line="240" w:lineRule="auto"/>
      </w:pPr>
      <w:r>
        <w:separator/>
      </w:r>
    </w:p>
  </w:endnote>
  <w:endnote w:type="continuationSeparator" w:id="0">
    <w:p w:rsidR="002D3EA6" w:rsidRDefault="002D3EA6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3141793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43D6" w:rsidRDefault="000F43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7739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5C0D0A" w:rsidRDefault="005C0D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EA6" w:rsidRDefault="002D3EA6" w:rsidP="000F43D6">
      <w:pPr>
        <w:bidi/>
        <w:spacing w:after="0" w:line="240" w:lineRule="auto"/>
      </w:pPr>
      <w:r>
        <w:separator/>
      </w:r>
    </w:p>
  </w:footnote>
  <w:footnote w:type="continuationSeparator" w:id="0">
    <w:p w:rsidR="002D3EA6" w:rsidRDefault="002D3EA6" w:rsidP="000D5800">
      <w:pPr>
        <w:spacing w:after="0" w:line="240" w:lineRule="auto"/>
      </w:pPr>
      <w:r>
        <w:continuationSeparator/>
      </w:r>
    </w:p>
  </w:footnote>
  <w:footnote w:id="1">
    <w:p w:rsidR="00DE0AAF" w:rsidRPr="00DF3DD9" w:rsidRDefault="00DE0AAF" w:rsidP="00DE0AAF">
      <w:pPr>
        <w:pStyle w:val="FootnoteText"/>
        <w:rPr>
          <w:rFonts w:ascii="IRBadr" w:hAnsi="IRBadr" w:cs="IRBadr"/>
          <w:b/>
          <w:bCs/>
          <w:rtl/>
        </w:rPr>
      </w:pPr>
      <w:r w:rsidRPr="00DF3DD9">
        <w:rPr>
          <w:rStyle w:val="FootnoteReference"/>
          <w:rFonts w:ascii="IRBadr" w:hAnsi="IRBadr" w:cs="IRBadr"/>
          <w:b/>
          <w:bCs/>
        </w:rPr>
        <w:footnoteRef/>
      </w:r>
      <w:r w:rsidRPr="00DF3DD9">
        <w:rPr>
          <w:rFonts w:ascii="IRBadr" w:hAnsi="IRBadr" w:cs="IRBadr"/>
          <w:b/>
          <w:bCs/>
        </w:rPr>
        <w:t xml:space="preserve"> </w:t>
      </w:r>
      <w:r w:rsidRPr="00DF3DD9">
        <w:rPr>
          <w:rFonts w:ascii="IRBadr" w:hAnsi="IRBadr" w:cs="IRBadr"/>
          <w:b/>
          <w:bCs/>
          <w:color w:val="000000" w:themeColor="text1"/>
          <w:rtl/>
        </w:rPr>
        <w:t>ال</w:t>
      </w:r>
      <w:r w:rsidR="005C0D0A" w:rsidRPr="00DF3DD9">
        <w:rPr>
          <w:rFonts w:ascii="IRBadr" w:hAnsi="IRBadr" w:cs="IRBadr"/>
          <w:b/>
          <w:bCs/>
          <w:color w:val="000000" w:themeColor="text1"/>
          <w:rtl/>
        </w:rPr>
        <w:t>ک</w:t>
      </w:r>
      <w:r w:rsidRPr="00DF3DD9">
        <w:rPr>
          <w:rFonts w:ascii="IRBadr" w:hAnsi="IRBadr" w:cs="IRBadr"/>
          <w:b/>
          <w:bCs/>
          <w:color w:val="000000" w:themeColor="text1"/>
          <w:rtl/>
        </w:rPr>
        <w:t>اف</w:t>
      </w:r>
      <w:r w:rsidR="005C0D0A" w:rsidRPr="00DF3DD9">
        <w:rPr>
          <w:rFonts w:ascii="IRBadr" w:hAnsi="IRBadr" w:cs="IRBadr"/>
          <w:b/>
          <w:bCs/>
          <w:color w:val="000000" w:themeColor="text1"/>
          <w:rtl/>
        </w:rPr>
        <w:t>ی</w:t>
      </w:r>
      <w:r w:rsidRPr="00DF3DD9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5C0D0A" w:rsidRPr="00DF3DD9">
        <w:rPr>
          <w:rFonts w:ascii="IRBadr" w:hAnsi="IRBadr" w:cs="IRBadr"/>
          <w:b/>
          <w:bCs/>
          <w:color w:val="000000" w:themeColor="text1"/>
          <w:rtl/>
        </w:rPr>
        <w:t>ی</w:t>
      </w:r>
      <w:r w:rsidRPr="00DF3DD9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5C0D0A" w:rsidRPr="00DF3DD9">
        <w:rPr>
          <w:rFonts w:ascii="IRBadr" w:hAnsi="IRBadr" w:cs="IRBadr"/>
          <w:b/>
          <w:bCs/>
          <w:color w:val="000000" w:themeColor="text1"/>
          <w:rtl/>
        </w:rPr>
        <w:t>ج 7</w:t>
      </w:r>
      <w:r w:rsidRPr="00DF3DD9">
        <w:rPr>
          <w:rFonts w:ascii="IRBadr" w:hAnsi="IRBadr" w:cs="IRBadr"/>
          <w:b/>
          <w:bCs/>
          <w:color w:val="000000" w:themeColor="text1"/>
          <w:rtl/>
        </w:rPr>
        <w:t>، ص: 219</w:t>
      </w:r>
    </w:p>
  </w:footnote>
  <w:footnote w:id="2">
    <w:p w:rsidR="00DE0AAF" w:rsidRPr="00DF3DD9" w:rsidRDefault="00DE0AAF" w:rsidP="00DE0AAF">
      <w:pPr>
        <w:pStyle w:val="FootnoteText"/>
        <w:rPr>
          <w:rFonts w:ascii="IRBadr" w:hAnsi="IRBadr" w:cs="IRBadr"/>
          <w:b/>
          <w:bCs/>
          <w:rtl/>
        </w:rPr>
      </w:pPr>
      <w:r w:rsidRPr="00DF3DD9">
        <w:rPr>
          <w:rStyle w:val="FootnoteReference"/>
          <w:rFonts w:ascii="IRBadr" w:hAnsi="IRBadr" w:cs="IRBadr"/>
          <w:b/>
          <w:bCs/>
        </w:rPr>
        <w:footnoteRef/>
      </w:r>
      <w:r w:rsidRPr="00DF3DD9">
        <w:rPr>
          <w:rFonts w:ascii="IRBadr" w:hAnsi="IRBadr" w:cs="IRBadr"/>
          <w:b/>
          <w:bCs/>
        </w:rPr>
        <w:t xml:space="preserve"> </w:t>
      </w:r>
      <w:r w:rsidRPr="00DF3DD9">
        <w:rPr>
          <w:rFonts w:ascii="IRBadr" w:hAnsi="IRBadr" w:cs="IRBadr"/>
          <w:b/>
          <w:bCs/>
          <w:color w:val="000000" w:themeColor="text1"/>
          <w:rtl/>
        </w:rPr>
        <w:t>وسائل الش</w:t>
      </w:r>
      <w:r w:rsidR="005C0D0A" w:rsidRPr="00DF3DD9">
        <w:rPr>
          <w:rFonts w:ascii="IRBadr" w:hAnsi="IRBadr" w:cs="IRBadr"/>
          <w:b/>
          <w:bCs/>
          <w:color w:val="000000" w:themeColor="text1"/>
          <w:rtl/>
        </w:rPr>
        <w:t>ی</w:t>
      </w:r>
      <w:r w:rsidRPr="00DF3DD9">
        <w:rPr>
          <w:rFonts w:ascii="IRBadr" w:hAnsi="IRBadr" w:cs="IRBadr"/>
          <w:b/>
          <w:bCs/>
          <w:color w:val="000000" w:themeColor="text1"/>
          <w:rtl/>
        </w:rPr>
        <w:t xml:space="preserve">عة؛ </w:t>
      </w:r>
      <w:r w:rsidR="005C0D0A" w:rsidRPr="00DF3DD9">
        <w:rPr>
          <w:rFonts w:ascii="IRBadr" w:hAnsi="IRBadr" w:cs="IRBadr"/>
          <w:b/>
          <w:bCs/>
          <w:color w:val="000000" w:themeColor="text1"/>
          <w:rtl/>
        </w:rPr>
        <w:t>ج 28</w:t>
      </w:r>
      <w:r w:rsidRPr="00DF3DD9">
        <w:rPr>
          <w:rFonts w:ascii="IRBadr" w:hAnsi="IRBadr" w:cs="IRBadr"/>
          <w:b/>
          <w:bCs/>
          <w:color w:val="000000" w:themeColor="text1"/>
          <w:rtl/>
        </w:rPr>
        <w:t>، ص: 250</w:t>
      </w:r>
    </w:p>
  </w:footnote>
  <w:footnote w:id="3">
    <w:p w:rsidR="00DE0AAF" w:rsidRPr="00DF3DD9" w:rsidRDefault="00DE0AAF" w:rsidP="00DE0AAF">
      <w:pPr>
        <w:pStyle w:val="FootnoteText"/>
        <w:rPr>
          <w:rFonts w:ascii="IRBadr" w:hAnsi="IRBadr" w:cs="IRBadr"/>
          <w:b/>
          <w:bCs/>
          <w:rtl/>
        </w:rPr>
      </w:pPr>
      <w:r w:rsidRPr="00DF3DD9">
        <w:rPr>
          <w:rStyle w:val="FootnoteReference"/>
          <w:rFonts w:ascii="IRBadr" w:hAnsi="IRBadr" w:cs="IRBadr"/>
          <w:b/>
          <w:bCs/>
        </w:rPr>
        <w:footnoteRef/>
      </w:r>
      <w:r w:rsidRPr="00DF3DD9">
        <w:rPr>
          <w:rFonts w:ascii="IRBadr" w:hAnsi="IRBadr" w:cs="IRBadr"/>
          <w:b/>
          <w:bCs/>
        </w:rPr>
        <w:t xml:space="preserve"> </w:t>
      </w:r>
      <w:r w:rsidRPr="00DF3DD9">
        <w:rPr>
          <w:rFonts w:ascii="IRBadr" w:hAnsi="IRBadr" w:cs="IRBadr"/>
          <w:b/>
          <w:bCs/>
          <w:color w:val="000000" w:themeColor="text1"/>
          <w:rtl/>
        </w:rPr>
        <w:t>تهذ</w:t>
      </w:r>
      <w:r w:rsidR="005C0D0A" w:rsidRPr="00DF3DD9">
        <w:rPr>
          <w:rFonts w:ascii="IRBadr" w:hAnsi="IRBadr" w:cs="IRBadr"/>
          <w:b/>
          <w:bCs/>
          <w:color w:val="000000" w:themeColor="text1"/>
          <w:rtl/>
        </w:rPr>
        <w:t>ی</w:t>
      </w:r>
      <w:r w:rsidRPr="00DF3DD9">
        <w:rPr>
          <w:rFonts w:ascii="IRBadr" w:hAnsi="IRBadr" w:cs="IRBadr"/>
          <w:b/>
          <w:bCs/>
          <w:color w:val="000000" w:themeColor="text1"/>
          <w:rtl/>
        </w:rPr>
        <w:t>ب الأح</w:t>
      </w:r>
      <w:r w:rsidR="005C0D0A" w:rsidRPr="00DF3DD9">
        <w:rPr>
          <w:rFonts w:ascii="IRBadr" w:hAnsi="IRBadr" w:cs="IRBadr"/>
          <w:b/>
          <w:bCs/>
          <w:color w:val="000000" w:themeColor="text1"/>
          <w:rtl/>
        </w:rPr>
        <w:t>ک</w:t>
      </w:r>
      <w:r w:rsidRPr="00DF3DD9">
        <w:rPr>
          <w:rFonts w:ascii="IRBadr" w:hAnsi="IRBadr" w:cs="IRBadr"/>
          <w:b/>
          <w:bCs/>
          <w:color w:val="000000" w:themeColor="text1"/>
          <w:rtl/>
        </w:rPr>
        <w:t xml:space="preserve">ام؛ </w:t>
      </w:r>
      <w:r w:rsidR="005C0D0A" w:rsidRPr="00DF3DD9">
        <w:rPr>
          <w:rFonts w:ascii="IRBadr" w:hAnsi="IRBadr" w:cs="IRBadr"/>
          <w:b/>
          <w:bCs/>
          <w:color w:val="000000" w:themeColor="text1"/>
          <w:rtl/>
        </w:rPr>
        <w:t>ج 10</w:t>
      </w:r>
      <w:r w:rsidRPr="00DF3DD9">
        <w:rPr>
          <w:rFonts w:ascii="IRBadr" w:hAnsi="IRBadr" w:cs="IRBadr"/>
          <w:b/>
          <w:bCs/>
          <w:color w:val="000000" w:themeColor="text1"/>
          <w:rtl/>
        </w:rPr>
        <w:t>، ص: 122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0F43D6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59C72B6" wp14:editId="1DE9868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C0B5948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6" w:name="OLE_LINK1"/>
    <w:bookmarkStart w:id="17" w:name="OLE_LINK2"/>
    <w:r>
      <w:rPr>
        <w:noProof/>
        <w:lang w:bidi="fa-IR"/>
      </w:rPr>
      <w:drawing>
        <wp:inline distT="0" distB="0" distL="0" distR="0" wp14:anchorId="22DA2AA1" wp14:editId="26A23091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0F43D6">
      <w:rPr>
        <w:rFonts w:ascii="IranNastaliq" w:hAnsi="IranNastaliq" w:cs="IranNastaliq" w:hint="cs"/>
        <w:sz w:val="40"/>
        <w:szCs w:val="40"/>
        <w:rtl/>
        <w:lang w:bidi="fa-IR"/>
      </w:rPr>
      <w:t>194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228A2"/>
    <w:rsid w:val="000324F1"/>
    <w:rsid w:val="00041FE0"/>
    <w:rsid w:val="00052BA3"/>
    <w:rsid w:val="000626D3"/>
    <w:rsid w:val="0006363E"/>
    <w:rsid w:val="00073001"/>
    <w:rsid w:val="00080DFF"/>
    <w:rsid w:val="00085ED5"/>
    <w:rsid w:val="000A1A51"/>
    <w:rsid w:val="000B725D"/>
    <w:rsid w:val="000D2D0D"/>
    <w:rsid w:val="000D5800"/>
    <w:rsid w:val="000F1897"/>
    <w:rsid w:val="000F43D6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B7739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34BE"/>
    <w:rsid w:val="002C56FD"/>
    <w:rsid w:val="002D3EA6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F1AED"/>
    <w:rsid w:val="00405199"/>
    <w:rsid w:val="00410699"/>
    <w:rsid w:val="00415360"/>
    <w:rsid w:val="0044591E"/>
    <w:rsid w:val="004651D2"/>
    <w:rsid w:val="00465D26"/>
    <w:rsid w:val="004660A9"/>
    <w:rsid w:val="004679F8"/>
    <w:rsid w:val="00492FBD"/>
    <w:rsid w:val="00494DC0"/>
    <w:rsid w:val="00496073"/>
    <w:rsid w:val="004B337F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610C18"/>
    <w:rsid w:val="00612385"/>
    <w:rsid w:val="0061376C"/>
    <w:rsid w:val="00636EFA"/>
    <w:rsid w:val="0066229C"/>
    <w:rsid w:val="00675B32"/>
    <w:rsid w:val="0069696C"/>
    <w:rsid w:val="006A085A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7C21"/>
    <w:rsid w:val="008644F4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9F7E77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27D9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DF3DD9"/>
    <w:rsid w:val="00E0639C"/>
    <w:rsid w:val="00E067E6"/>
    <w:rsid w:val="00E12531"/>
    <w:rsid w:val="00E143B0"/>
    <w:rsid w:val="00E15928"/>
    <w:rsid w:val="00E55891"/>
    <w:rsid w:val="00E6283A"/>
    <w:rsid w:val="00E732A3"/>
    <w:rsid w:val="00E83A85"/>
    <w:rsid w:val="00E90FC4"/>
    <w:rsid w:val="00EA01EC"/>
    <w:rsid w:val="00EA15B0"/>
    <w:rsid w:val="00EA45EB"/>
    <w:rsid w:val="00EA550C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F43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F43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BAB5C-ED7B-4AB5-B17C-F6B57A959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81</TotalTime>
  <Pages>6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24</cp:revision>
  <dcterms:created xsi:type="dcterms:W3CDTF">2014-12-20T10:23:00Z</dcterms:created>
  <dcterms:modified xsi:type="dcterms:W3CDTF">2015-08-15T06:58:00Z</dcterms:modified>
</cp:coreProperties>
</file>